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в отношении обработки персональных данных</w:t>
      </w:r>
    </w:p>
    <w:p>
      <w:pPr>
        <w:jc w:val="left"/>
      </w:pPr>
      <w:r>
        <w:rPr>
          <w:b/>
          <w:color w:val="6B5B4B"/>
          <w:sz w:val="18"/>
        </w:rPr>
        <w:t>Сайт: https://cd764371.tw1.ru/  |  Актуальная редакция: 14.09.2026</w:t>
      </w:r>
    </w:p>
    <w:p>
      <w:r>
        <w:t>Настоящая Политика в отношении обработки персональных данных (далее - Политика) составлена в соответствии с Федеральным законом от 27.07.2006 № 152-ФЗ «О персональных данных» и определяет порядок обработки персональных данных и меры по обеспечению их безопасности, предпринимаемые Оператором.</w:t>
      </w:r>
    </w:p>
    <w:p>
      <w:pPr>
        <w:pStyle w:val="Heading1"/>
      </w:pPr>
      <w:r>
        <w:t>1. Общие положения</w:t>
      </w:r>
    </w:p>
    <w:p>
      <w:r>
        <w:t>1.1. Оператор: Индивидуальный предприниматель Овчинникова Виктория Викторовна, ИНН 564202980545, ОГРНИП 324028000155202.</w:t>
      </w:r>
    </w:p>
    <w:p>
      <w:r>
        <w:t>1.2. Оператор считает соблюдение прав и свобод человека и гражданина при обработке персональных данных, включая защиту права на неприкосновенность частной жизни, одним из основных условий своей деятельности.</w:t>
      </w:r>
    </w:p>
    <w:p>
      <w:r>
        <w:t>1.3. Политика применяется ко всей информации, которую Оператор может получить о посетителях Сайта «Напольный Рай» по адресу https://cd764371.tw1.ru/, а также при обращении через формы Сайта, калькулятор, телефон, мессенджеры и иные указанные на Сайте каналы связи.</w:t>
      </w:r>
    </w:p>
    <w:p>
      <w:r>
        <w:t>1.4. Адрес Оператора: Набережная р. Уфы, д. 45, корп./ст. 1, кв./оф. 14, Республика Башкортостан, Октябрьский район. Адрес шоурума / контактной точки: г. Уфа, ул. Менделеева, 158. Телефон: +7 (917) 444-76-92.</w:t>
      </w:r>
    </w:p>
    <w:p>
      <w:r>
        <w:t>1.5. Политика не регулирует обработку данных сторонними сайтами и сервисами, на которые Пользователь может перейти по внешним ссылкам.</w:t>
      </w:r>
    </w:p>
    <w:p>
      <w:pPr>
        <w:pStyle w:val="Heading1"/>
      </w:pPr>
      <w:r>
        <w:t>2. Основные понятия</w:t>
      </w:r>
    </w:p>
    <w:p>
      <w:r>
        <w:rPr>
          <w:b/>
        </w:rPr>
        <w:t xml:space="preserve">2.1. Автоматизированная обработка персональных данных - </w:t>
      </w:r>
      <w:r>
        <w:t>обработка персональных данных с помощью средств вычислительной техники.</w:t>
      </w:r>
    </w:p>
    <w:p>
      <w:r>
        <w:rPr>
          <w:b/>
        </w:rPr>
        <w:t xml:space="preserve">2.2. Блокирование персональных данных - </w:t>
      </w:r>
      <w:r>
        <w:t>временное прекращение обработки персональных данных, кроме случаев, когда обработка необходима для их уточнения.</w:t>
      </w:r>
    </w:p>
    <w:p>
      <w:r>
        <w:rPr>
          <w:b/>
        </w:rPr>
        <w:t xml:space="preserve">2.3. Веб-сайт (Сайт) - </w:t>
      </w:r>
      <w:r>
        <w:t>совокупность материалов, программ для ЭВМ и баз данных, доступных по адресу https://cd764371.tw1.ru/.</w:t>
      </w:r>
    </w:p>
    <w:p>
      <w:r>
        <w:rPr>
          <w:b/>
        </w:rPr>
        <w:t xml:space="preserve">2.4. Информационная система персональных данных - </w:t>
      </w:r>
      <w:r>
        <w:t>совокупность содержащихся в базах данных персональных данных и обеспечивающих их обработку информационных технологий и технических средств.</w:t>
      </w:r>
    </w:p>
    <w:p>
      <w:r>
        <w:rPr>
          <w:b/>
        </w:rPr>
        <w:t xml:space="preserve">2.5. Обезличивание персональных данных - </w:t>
      </w:r>
      <w:r>
        <w:t>действия, в результате которых без использования дополнительной информации невозможно определить принадлежность персональных данных конкретному субъекту.</w:t>
      </w:r>
    </w:p>
    <w:p>
      <w:r>
        <w:rPr>
          <w:b/>
        </w:rPr>
        <w:t xml:space="preserve">2.6. Обработка персональных данных - </w:t>
      </w:r>
      <w:r>
        <w:t>любое действие или совокупность действий с персональными данными, включая сбор, запись, систематизацию, накопление, хранение, уточнение, извлечение, использование, передачу, обезличивание, блокирование, удаление и уничтожение.</w:t>
      </w:r>
    </w:p>
    <w:p>
      <w:r>
        <w:rPr>
          <w:b/>
        </w:rPr>
        <w:t xml:space="preserve">2.7. Оператор - </w:t>
      </w:r>
      <w:r>
        <w:t>лицо, самостоятельно или совместно с другими лицами организующее и осуществляющее обработку персональных данных, а также определяющее цели обработки, состав данных и действия с ними.</w:t>
      </w:r>
    </w:p>
    <w:p>
      <w:r>
        <w:rPr>
          <w:b/>
        </w:rPr>
        <w:t xml:space="preserve">2.8. Персональные данные - </w:t>
      </w:r>
      <w:r>
        <w:t>любая информация, относящаяся прямо или косвенно к определенному или определяемому физическому лицу.</w:t>
      </w:r>
    </w:p>
    <w:p>
      <w:r>
        <w:rPr>
          <w:b/>
        </w:rPr>
        <w:t xml:space="preserve">2.9. Пользователь - </w:t>
      </w:r>
      <w:r>
        <w:t>любой посетитель Сайта.</w:t>
      </w:r>
    </w:p>
    <w:p>
      <w:r>
        <w:rPr>
          <w:b/>
        </w:rPr>
        <w:t xml:space="preserve">2.10. Предоставление персональных данных - </w:t>
      </w:r>
      <w:r>
        <w:t>действия, направленные на раскрытие персональных данных определенному лицу или определенному кругу лиц.</w:t>
      </w:r>
    </w:p>
    <w:p>
      <w:r>
        <w:rPr>
          <w:b/>
        </w:rPr>
        <w:t xml:space="preserve">2.11. Распространение персональных данных - </w:t>
      </w:r>
      <w:r>
        <w:t>действия, направленные на раскрытие персональных данных неопределенному кругу лиц.</w:t>
      </w:r>
    </w:p>
    <w:p>
      <w:r>
        <w:rPr>
          <w:b/>
        </w:rPr>
        <w:t xml:space="preserve">2.12. Трансграничная передача персональных данных - </w:t>
      </w:r>
      <w:r>
        <w:t>передача персональных данных на территорию иностранного государства.</w:t>
      </w:r>
    </w:p>
    <w:p>
      <w:r>
        <w:rPr>
          <w:b/>
        </w:rPr>
        <w:t xml:space="preserve">2.13. Уничтожение персональных данных - </w:t>
      </w:r>
      <w:r>
        <w:t>действия, в результате которых персональные данные уничтожаются безвозвратно.</w:t>
      </w:r>
    </w:p>
    <w:p>
      <w:pPr>
        <w:pStyle w:val="Heading1"/>
      </w:pPr>
      <w:r>
        <w:t>3. Права и обязанности Оператора</w:t>
      </w:r>
    </w:p>
    <w:p>
      <w:r>
        <w:t>3.1. Оператор вправе:</w:t>
      </w:r>
    </w:p>
    <w:p>
      <w:pPr>
        <w:pStyle w:val="ListBullet"/>
        <w:spacing w:after="60"/>
        <w:ind w:left="255" w:hanging="102"/>
      </w:pPr>
      <w:r>
        <w:rPr>
          <w:rFonts w:ascii="Arial" w:hAnsi="Arial"/>
          <w:sz w:val="21"/>
        </w:rPr>
        <w:t>получать от субъекта достоверную информацию и документы, необходимые для достижения заявленных целей обработки;</w:t>
      </w:r>
    </w:p>
    <w:p>
      <w:pPr>
        <w:pStyle w:val="ListBullet"/>
        <w:spacing w:after="60"/>
        <w:ind w:left="255" w:hanging="102"/>
      </w:pPr>
      <w:r>
        <w:rPr>
          <w:rFonts w:ascii="Arial" w:hAnsi="Arial"/>
          <w:sz w:val="21"/>
        </w:rPr>
        <w:t>продолжить обработку без согласия субъекта при наличии оснований, предусмотренных законодательством Российской Федерации;</w:t>
      </w:r>
    </w:p>
    <w:p>
      <w:pPr>
        <w:pStyle w:val="ListBullet"/>
        <w:spacing w:after="60"/>
        <w:ind w:left="255" w:hanging="102"/>
      </w:pPr>
      <w:r>
        <w:rPr>
          <w:rFonts w:ascii="Arial" w:hAnsi="Arial"/>
          <w:sz w:val="21"/>
        </w:rPr>
        <w:t>самостоятельно определять состав правовых, организационных и технических мер, необходимых для выполнения обязанностей в области персональных данных;</w:t>
      </w:r>
    </w:p>
    <w:p>
      <w:pPr>
        <w:pStyle w:val="ListBullet"/>
        <w:spacing w:after="60"/>
        <w:ind w:left="255" w:hanging="102"/>
      </w:pPr>
      <w:r>
        <w:rPr>
          <w:rFonts w:ascii="Arial" w:hAnsi="Arial"/>
          <w:sz w:val="21"/>
        </w:rPr>
        <w:t>поручать обработку персональных данных третьим лицам при наличии законных оснований и при условии соблюдения ими конфиденциальности и безопасности данных.</w:t>
      </w:r>
    </w:p>
    <w:p>
      <w:r>
        <w:t>3.2. Оператор обязан:</w:t>
      </w:r>
    </w:p>
    <w:p>
      <w:pPr>
        <w:pStyle w:val="ListBullet"/>
        <w:spacing w:after="60"/>
        <w:ind w:left="255" w:hanging="102"/>
      </w:pPr>
      <w:r>
        <w:rPr>
          <w:rFonts w:ascii="Arial" w:hAnsi="Arial"/>
          <w:sz w:val="21"/>
        </w:rPr>
        <w:t>обрабатывать персональные данные на законной и справедливой основе;</w:t>
      </w:r>
    </w:p>
    <w:p>
      <w:pPr>
        <w:pStyle w:val="ListBullet"/>
        <w:spacing w:after="60"/>
        <w:ind w:left="255" w:hanging="102"/>
      </w:pPr>
      <w:r>
        <w:rPr>
          <w:rFonts w:ascii="Arial" w:hAnsi="Arial"/>
          <w:sz w:val="21"/>
        </w:rPr>
        <w:t>предоставлять субъекту по его запросу информацию об обработке его персональных данных;</w:t>
      </w:r>
    </w:p>
    <w:p>
      <w:pPr>
        <w:pStyle w:val="ListBullet"/>
        <w:spacing w:after="60"/>
        <w:ind w:left="255" w:hanging="102"/>
      </w:pPr>
      <w:r>
        <w:rPr>
          <w:rFonts w:ascii="Arial" w:hAnsi="Arial"/>
          <w:sz w:val="21"/>
        </w:rPr>
        <w:t>принимать меры по уточнению, блокированию или уничтожению данных в предусмотренных законом случаях;</w:t>
      </w:r>
    </w:p>
    <w:p>
      <w:pPr>
        <w:pStyle w:val="ListBullet"/>
        <w:spacing w:after="60"/>
        <w:ind w:left="255" w:hanging="102"/>
      </w:pPr>
      <w:r>
        <w:rPr>
          <w:rFonts w:ascii="Arial" w:hAnsi="Arial"/>
          <w:sz w:val="21"/>
        </w:rPr>
        <w:t>обеспечивать конфиденциальность и безопасность персональных данных;</w:t>
      </w:r>
    </w:p>
    <w:p>
      <w:pPr>
        <w:pStyle w:val="ListBullet"/>
        <w:spacing w:after="60"/>
        <w:ind w:left="255" w:hanging="102"/>
      </w:pPr>
      <w:r>
        <w:rPr>
          <w:rFonts w:ascii="Arial" w:hAnsi="Arial"/>
          <w:sz w:val="21"/>
        </w:rPr>
        <w:t>опубликовать настоящую Политику и обеспечить свободный доступ к ней на страницах Сайта, где осуществляется сбор персональных данных;</w:t>
      </w:r>
    </w:p>
    <w:p>
      <w:pPr>
        <w:pStyle w:val="ListBullet"/>
        <w:spacing w:after="60"/>
        <w:ind w:left="255" w:hanging="102"/>
      </w:pPr>
      <w:r>
        <w:rPr>
          <w:rFonts w:ascii="Arial" w:hAnsi="Arial"/>
          <w:sz w:val="21"/>
        </w:rPr>
        <w:t>прекращать обработку и уничтожать персональные данные в порядке и сроки, установленные законодательством Российской Федерации.</w:t>
      </w:r>
    </w:p>
    <w:p>
      <w:pPr>
        <w:pStyle w:val="Heading1"/>
      </w:pPr>
      <w:r>
        <w:t>4. Права и обязанности субъектов персональных данных</w:t>
      </w:r>
    </w:p>
    <w:p>
      <w:r>
        <w:t>4.1. Субъект персональных данных вправе:</w:t>
      </w:r>
    </w:p>
    <w:p>
      <w:pPr>
        <w:pStyle w:val="ListBullet"/>
        <w:spacing w:after="60"/>
        <w:ind w:left="255" w:hanging="102"/>
      </w:pPr>
      <w:r>
        <w:rPr>
          <w:rFonts w:ascii="Arial" w:hAnsi="Arial"/>
          <w:sz w:val="21"/>
        </w:rPr>
        <w:t>получать сведения об обработке своих персональных данных;</w:t>
      </w:r>
    </w:p>
    <w:p>
      <w:pPr>
        <w:pStyle w:val="ListBullet"/>
        <w:spacing w:after="60"/>
        <w:ind w:left="255" w:hanging="102"/>
      </w:pPr>
      <w:r>
        <w:rPr>
          <w:rFonts w:ascii="Arial" w:hAnsi="Arial"/>
          <w:sz w:val="21"/>
        </w:rPr>
        <w:t>требовать уточнения, блокирования или уничтожения неполных, устаревших, неточных, незаконно полученных либо не необходимых для заявленной цели данных;</w:t>
      </w:r>
    </w:p>
    <w:p>
      <w:pPr>
        <w:pStyle w:val="ListBullet"/>
        <w:spacing w:after="60"/>
        <w:ind w:left="255" w:hanging="102"/>
      </w:pPr>
      <w:r>
        <w:rPr>
          <w:rFonts w:ascii="Arial" w:hAnsi="Arial"/>
          <w:sz w:val="21"/>
        </w:rPr>
        <w:t>отозвать согласие на обработку персональных данных и направить требование о прекращении обработки;</w:t>
      </w:r>
    </w:p>
    <w:p>
      <w:pPr>
        <w:pStyle w:val="ListBullet"/>
        <w:spacing w:after="60"/>
        <w:ind w:left="255" w:hanging="102"/>
      </w:pPr>
      <w:r>
        <w:rPr>
          <w:rFonts w:ascii="Arial" w:hAnsi="Arial"/>
          <w:sz w:val="21"/>
        </w:rPr>
        <w:t>отказаться от получения рекламных и маркетинговых сообщений;</w:t>
      </w:r>
    </w:p>
    <w:p>
      <w:pPr>
        <w:pStyle w:val="ListBullet"/>
        <w:spacing w:after="60"/>
        <w:ind w:left="255" w:hanging="102"/>
      </w:pPr>
      <w:r>
        <w:rPr>
          <w:rFonts w:ascii="Arial" w:hAnsi="Arial"/>
          <w:sz w:val="21"/>
        </w:rPr>
        <w:t>обжаловать действия или бездействие Оператора в Роскомнадзор или в суд;</w:t>
      </w:r>
    </w:p>
    <w:p>
      <w:pPr>
        <w:pStyle w:val="ListBullet"/>
        <w:spacing w:after="60"/>
        <w:ind w:left="255" w:hanging="102"/>
      </w:pPr>
      <w:r>
        <w:rPr>
          <w:rFonts w:ascii="Arial" w:hAnsi="Arial"/>
          <w:sz w:val="21"/>
        </w:rPr>
        <w:t>осуществлять иные права, предусмотренные законодательством Российской Федерации.</w:t>
      </w:r>
    </w:p>
    <w:p>
      <w:r>
        <w:t>4.2. Субъект обязан предоставлять достоверные данные и своевременно сообщать об их изменении.</w:t>
      </w:r>
    </w:p>
    <w:p>
      <w:r>
        <w:t>4.3. Лицо, передавшее Оператору данные другого субъекта без законных оснований, несет ответственность в соответствии с законодательством Российской Федерации.</w:t>
      </w:r>
    </w:p>
    <w:p>
      <w:pPr>
        <w:pStyle w:val="Heading1"/>
      </w:pPr>
      <w:r>
        <w:t>5. Принципы обработки персональных данных</w:t>
      </w:r>
    </w:p>
    <w:p>
      <w:pPr>
        <w:ind w:left="227" w:hanging="227"/>
      </w:pPr>
      <w:r>
        <w:rPr>
          <w:b/>
        </w:rPr>
        <w:t xml:space="preserve">1. </w:t>
      </w:r>
      <w:r>
        <w:t>Обработка осуществляется на законной и справедливой основе.</w:t>
      </w:r>
    </w:p>
    <w:p>
      <w:pPr>
        <w:ind w:left="227" w:hanging="227"/>
      </w:pPr>
      <w:r>
        <w:rPr>
          <w:b/>
        </w:rPr>
        <w:t xml:space="preserve">2. </w:t>
      </w:r>
      <w:r>
        <w:t>Обработка ограничивается конкретными, заранее определенными и законными целями.</w:t>
      </w:r>
    </w:p>
    <w:p>
      <w:pPr>
        <w:ind w:left="227" w:hanging="227"/>
      </w:pPr>
      <w:r>
        <w:rPr>
          <w:b/>
        </w:rPr>
        <w:t xml:space="preserve">3. </w:t>
      </w:r>
      <w:r>
        <w:t>Не допускается обработка данных, несовместимая с целями их сбора.</w:t>
      </w:r>
    </w:p>
    <w:p>
      <w:pPr>
        <w:ind w:left="227" w:hanging="227"/>
      </w:pPr>
      <w:r>
        <w:rPr>
          <w:b/>
        </w:rPr>
        <w:t xml:space="preserve">4. </w:t>
      </w:r>
      <w:r>
        <w:t>Обрабатываются только данные, соответствующие заявленным целям.</w:t>
      </w:r>
    </w:p>
    <w:p>
      <w:pPr>
        <w:ind w:left="227" w:hanging="227"/>
      </w:pPr>
      <w:r>
        <w:rPr>
          <w:b/>
        </w:rPr>
        <w:t xml:space="preserve">5. </w:t>
      </w:r>
      <w:r>
        <w:t>Содержание и объем данных не должны быть избыточными.</w:t>
      </w:r>
    </w:p>
    <w:p>
      <w:pPr>
        <w:ind w:left="227" w:hanging="227"/>
      </w:pPr>
      <w:r>
        <w:rPr>
          <w:b/>
        </w:rPr>
        <w:t xml:space="preserve">6. </w:t>
      </w:r>
      <w:r>
        <w:t>Оператор принимает меры для обеспечения точности и актуальности данных.</w:t>
      </w:r>
    </w:p>
    <w:p>
      <w:pPr>
        <w:ind w:left="227" w:hanging="227"/>
      </w:pPr>
      <w:r>
        <w:rPr>
          <w:b/>
        </w:rPr>
        <w:t xml:space="preserve">7. </w:t>
      </w:r>
      <w:r>
        <w:t>Данные хранятся не дольше, чем этого требуют цели обработки или законодательство.</w:t>
      </w:r>
    </w:p>
    <w:p>
      <w:pPr>
        <w:ind w:left="227" w:hanging="227"/>
      </w:pPr>
      <w:r>
        <w:rPr>
          <w:b/>
        </w:rPr>
        <w:t xml:space="preserve">8. </w:t>
      </w:r>
      <w:r>
        <w:t>По достижении целей данные уничтожаются или обезличиваются, если иное не предусмотрено законом.</w:t>
      </w:r>
    </w:p>
    <w:p>
      <w:pPr>
        <w:pStyle w:val="Heading1"/>
      </w:pPr>
      <w:r>
        <w:t>6. Цели, категории данных и способы обработки</w:t>
      </w:r>
    </w:p>
    <w:p>
      <w:pPr>
        <w:pStyle w:val="Heading2"/>
      </w:pPr>
      <w:r>
        <w:t>6.1. Обработка заявок, обратных звонков и консультаций</w:t>
      </w:r>
    </w:p>
    <w:tbl>
      <w:tblPr>
        <w:tblW w:type="auto" w:w="0"/>
        <w:jc w:val="center"/>
        <w:tblLayout w:type="fixed"/>
        <w:tblLook w:firstColumn="1" w:firstRow="1" w:lastColumn="0" w:lastRow="0" w:noHBand="0" w:noVBand="1" w:val="04A0"/>
        <w:tblBorders>
          <w:top w:val="single" w:sz="4" w:space="0" w:color="D9D2CA"/>
          <w:left w:val="single" w:sz="4" w:space="0" w:color="D9D2CA"/>
          <w:bottom w:val="single" w:sz="4" w:space="0" w:color="D9D2CA"/>
          <w:right w:val="single" w:sz="4" w:space="0" w:color="D9D2CA"/>
          <w:insideH w:val="single" w:sz="4" w:space="0" w:color="D9D2CA"/>
          <w:insideV w:val="single" w:sz="4" w:space="0" w:color="D9D2CA"/>
        </w:tblBorders>
      </w:tblPr>
      <w:tblGrid>
        <w:gridCol w:w="2551"/>
        <w:gridCol w:w="6350"/>
      </w:tblGrid>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Цель обработки</w:t>
            </w:r>
          </w:p>
        </w:tc>
        <w:tc>
          <w:tcPr>
            <w:tcW w:type="dxa" w:w="6350"/>
            <w:tcMar>
              <w:top w:w="100" w:type="dxa"/>
              <w:start w:w="120" w:type="dxa"/>
              <w:bottom w:w="100" w:type="dxa"/>
              <w:end w:w="120" w:type="dxa"/>
            </w:tcMar>
            <w:vAlign w:val="top"/>
          </w:tcPr>
          <w:p>
            <w:pPr>
              <w:spacing w:after="0"/>
            </w:pPr>
            <w:r>
              <w:rPr>
                <w:rFonts w:ascii="Arial" w:hAnsi="Arial"/>
                <w:sz w:val="19"/>
              </w:rPr>
              <w:t>Прием и обработка заявок; обратный звонок; консультация по ассортименту, характеристикам, наличию, цене и условиям приобретения; ответы на обращения; связь с Пользователем.</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Персональные данные</w:t>
            </w:r>
          </w:p>
        </w:tc>
        <w:tc>
          <w:tcPr>
            <w:tcW w:type="dxa" w:w="6350"/>
            <w:tcMar>
              <w:top w:w="100" w:type="dxa"/>
              <w:start w:w="120" w:type="dxa"/>
              <w:bottom w:w="100" w:type="dxa"/>
              <w:end w:w="120" w:type="dxa"/>
            </w:tcMar>
            <w:vAlign w:val="top"/>
          </w:tcPr>
          <w:p>
            <w:pPr>
              <w:spacing w:after="0"/>
            </w:pPr>
            <w:r>
              <w:rPr>
                <w:rFonts w:ascii="Arial" w:hAnsi="Arial"/>
                <w:sz w:val="19"/>
              </w:rPr>
              <w:t>Имя; номер телефона; выбранное время звонка; адрес электронной почты - если указан; выбранный канал связи; содержание обращения и иные сведения, добровольно сообщенные Пользователем.</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Правовые основания</w:t>
            </w:r>
          </w:p>
        </w:tc>
        <w:tc>
          <w:tcPr>
            <w:tcW w:type="dxa" w:w="6350"/>
            <w:tcMar>
              <w:top w:w="100" w:type="dxa"/>
              <w:start w:w="120" w:type="dxa"/>
              <w:bottom w:w="100" w:type="dxa"/>
              <w:end w:w="120" w:type="dxa"/>
            </w:tcMar>
            <w:vAlign w:val="top"/>
          </w:tcPr>
          <w:p>
            <w:pPr>
              <w:spacing w:after="0"/>
            </w:pPr>
            <w:r>
              <w:rPr>
                <w:rFonts w:ascii="Arial" w:hAnsi="Arial"/>
                <w:sz w:val="19"/>
              </w:rPr>
              <w:t>Согласие субъекта персональных данных; совершение действий по запросу субъекта до заключения договора; заключение и исполнение договора.</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Действия с данными</w:t>
            </w:r>
          </w:p>
        </w:tc>
        <w:tc>
          <w:tcPr>
            <w:tcW w:type="dxa" w:w="6350"/>
            <w:tcMar>
              <w:top w:w="100" w:type="dxa"/>
              <w:start w:w="120" w:type="dxa"/>
              <w:bottom w:w="100" w:type="dxa"/>
              <w:end w:w="120" w:type="dxa"/>
            </w:tcMar>
            <w:vAlign w:val="top"/>
          </w:tcPr>
          <w:p>
            <w:pPr>
              <w:spacing w:after="0"/>
            </w:pPr>
            <w:r>
              <w:rPr>
                <w:rFonts w:ascii="Arial" w:hAnsi="Arial"/>
                <w:sz w:val="19"/>
              </w:rPr>
              <w:t>Сбор, запись, систематизация, накопление, хранение, уточнение, извлечение, использование, предоставление уполномоченным лицам, блокирование, удаление и уничтожение.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Получатели / обработчики</w:t>
            </w:r>
          </w:p>
        </w:tc>
        <w:tc>
          <w:tcPr>
            <w:tcW w:type="dxa" w:w="6350"/>
            <w:tcMar>
              <w:top w:w="100" w:type="dxa"/>
              <w:start w:w="120" w:type="dxa"/>
              <w:bottom w:w="100" w:type="dxa"/>
              <w:end w:w="120" w:type="dxa"/>
            </w:tcMar>
            <w:vAlign w:val="top"/>
          </w:tcPr>
          <w:p>
            <w:pPr>
              <w:spacing w:after="0"/>
            </w:pPr>
            <w:r>
              <w:rPr>
                <w:rFonts w:ascii="Arial" w:hAnsi="Arial"/>
                <w:sz w:val="19"/>
              </w:rPr>
              <w:t>Сервисы хостинга, форм обратной связи, CRM, телефонии, электронной почты/уведомлений и технической поддержки - только в объеме, необходимом для обработки заявки или обращения.</w:t>
            </w:r>
          </w:p>
        </w:tc>
      </w:tr>
    </w:tbl>
    <w:p/>
    <w:p>
      <w:pPr>
        <w:pStyle w:val="Heading2"/>
      </w:pPr>
      <w:r>
        <w:t>6.2. Расчет стоимости и подбор напольного покрытия</w:t>
      </w:r>
    </w:p>
    <w:tbl>
      <w:tblPr>
        <w:tblW w:type="auto" w:w="0"/>
        <w:jc w:val="center"/>
        <w:tblLayout w:type="fixed"/>
        <w:tblLook w:firstColumn="1" w:firstRow="1" w:lastColumn="0" w:lastRow="0" w:noHBand="0" w:noVBand="1" w:val="04A0"/>
        <w:tblBorders>
          <w:top w:val="single" w:sz="4" w:space="0" w:color="D9D2CA"/>
          <w:left w:val="single" w:sz="4" w:space="0" w:color="D9D2CA"/>
          <w:bottom w:val="single" w:sz="4" w:space="0" w:color="D9D2CA"/>
          <w:right w:val="single" w:sz="4" w:space="0" w:color="D9D2CA"/>
          <w:insideH w:val="single" w:sz="4" w:space="0" w:color="D9D2CA"/>
          <w:insideV w:val="single" w:sz="4" w:space="0" w:color="D9D2CA"/>
        </w:tblBorders>
      </w:tblPr>
      <w:tblGrid>
        <w:gridCol w:w="2551"/>
        <w:gridCol w:w="6350"/>
      </w:tblGrid>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Цель обработки</w:t>
            </w:r>
          </w:p>
        </w:tc>
        <w:tc>
          <w:tcPr>
            <w:tcW w:type="dxa" w:w="6350"/>
            <w:tcMar>
              <w:top w:w="100" w:type="dxa"/>
              <w:start w:w="120" w:type="dxa"/>
              <w:bottom w:w="100" w:type="dxa"/>
              <w:end w:w="120" w:type="dxa"/>
            </w:tcMar>
            <w:vAlign w:val="top"/>
          </w:tcPr>
          <w:p>
            <w:pPr>
              <w:spacing w:after="0"/>
            </w:pPr>
            <w:r>
              <w:rPr>
                <w:rFonts w:ascii="Arial" w:hAnsi="Arial"/>
                <w:sz w:val="19"/>
              </w:rPr>
              <w:t>Формирование предварительного расчета, подбор покрытия и связанных материалов, уточнение количества/площади, параметров продукции и предпочтений Пользователя, передача результата расчета и последующая консультация.</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Персональные данные</w:t>
            </w:r>
          </w:p>
        </w:tc>
        <w:tc>
          <w:tcPr>
            <w:tcW w:type="dxa" w:w="6350"/>
            <w:tcMar>
              <w:top w:w="100" w:type="dxa"/>
              <w:start w:w="120" w:type="dxa"/>
              <w:bottom w:w="100" w:type="dxa"/>
              <w:end w:w="120" w:type="dxa"/>
            </w:tcMar>
            <w:vAlign w:val="top"/>
          </w:tcPr>
          <w:p>
            <w:pPr>
              <w:spacing w:after="0"/>
            </w:pPr>
            <w:r>
              <w:rPr>
                <w:rFonts w:ascii="Arial" w:hAnsi="Arial"/>
                <w:sz w:val="19"/>
              </w:rPr>
              <w:t>Имя; телефон или иной контакт, указанный для получения расчета; e-mail - если выбран как канал связи; выбранные параметры покрытия, способ укладки, размеры, сорт, цвет, необходимое количество/площадь, выбранный подарок и иные ответы в калькуляторе.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Правовые основания</w:t>
            </w:r>
          </w:p>
        </w:tc>
        <w:tc>
          <w:tcPr>
            <w:tcW w:type="dxa" w:w="6350"/>
            <w:tcMar>
              <w:top w:w="100" w:type="dxa"/>
              <w:start w:w="120" w:type="dxa"/>
              <w:bottom w:w="100" w:type="dxa"/>
              <w:end w:w="120" w:type="dxa"/>
            </w:tcMar>
            <w:vAlign w:val="top"/>
          </w:tcPr>
          <w:p>
            <w:pPr>
              <w:spacing w:after="0"/>
            </w:pPr>
            <w:r>
              <w:rPr>
                <w:rFonts w:ascii="Arial" w:hAnsi="Arial"/>
                <w:sz w:val="19"/>
              </w:rPr>
              <w:t>Согласие субъекта; совершение действий по запросу субъекта до заключения договора.</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Действия с данными</w:t>
            </w:r>
          </w:p>
        </w:tc>
        <w:tc>
          <w:tcPr>
            <w:tcW w:type="dxa" w:w="6350"/>
            <w:tcMar>
              <w:top w:w="100" w:type="dxa"/>
              <w:start w:w="120" w:type="dxa"/>
              <w:bottom w:w="100" w:type="dxa"/>
              <w:end w:w="120" w:type="dxa"/>
            </w:tcMar>
            <w:vAlign w:val="top"/>
          </w:tcPr>
          <w:p>
            <w:pPr>
              <w:spacing w:after="0"/>
            </w:pPr>
            <w:r>
              <w:rPr>
                <w:rFonts w:ascii="Arial" w:hAnsi="Arial"/>
                <w:sz w:val="19"/>
              </w:rPr>
              <w:t>Сбор, запись, систематизация, накопление, хранение, уточнение, извлечение, использование, предоставление уполномоченным лицам, блокирование, удаление и уничтожение.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Получатели / обработчики</w:t>
            </w:r>
          </w:p>
        </w:tc>
        <w:tc>
          <w:tcPr>
            <w:tcW w:type="dxa" w:w="6350"/>
            <w:tcMar>
              <w:top w:w="100" w:type="dxa"/>
              <w:start w:w="120" w:type="dxa"/>
              <w:bottom w:w="100" w:type="dxa"/>
              <w:end w:w="120" w:type="dxa"/>
            </w:tcMar>
            <w:vAlign w:val="top"/>
          </w:tcPr>
          <w:p>
            <w:pPr>
              <w:spacing w:after="0"/>
            </w:pPr>
            <w:r>
              <w:rPr>
                <w:rFonts w:ascii="Arial" w:hAnsi="Arial"/>
                <w:sz w:val="19"/>
              </w:rPr>
              <w:t>Сервисы форм и калькулятора, CRM, хостинга, уведомлений, телефонии и технической поддержки Сайта в необходимом объеме.</w:t>
            </w:r>
          </w:p>
        </w:tc>
      </w:tr>
    </w:tbl>
    <w:p/>
    <w:p>
      <w:pPr>
        <w:pStyle w:val="Heading2"/>
      </w:pPr>
      <w:r>
        <w:t>6.3. Оформление и исполнение заказов</w:t>
      </w:r>
    </w:p>
    <w:tbl>
      <w:tblPr>
        <w:tblW w:type="auto" w:w="0"/>
        <w:jc w:val="center"/>
        <w:tblLayout w:type="fixed"/>
        <w:tblLook w:firstColumn="1" w:firstRow="1" w:lastColumn="0" w:lastRow="0" w:noHBand="0" w:noVBand="1" w:val="04A0"/>
        <w:tblBorders>
          <w:top w:val="single" w:sz="4" w:space="0" w:color="D9D2CA"/>
          <w:left w:val="single" w:sz="4" w:space="0" w:color="D9D2CA"/>
          <w:bottom w:val="single" w:sz="4" w:space="0" w:color="D9D2CA"/>
          <w:right w:val="single" w:sz="4" w:space="0" w:color="D9D2CA"/>
          <w:insideH w:val="single" w:sz="4" w:space="0" w:color="D9D2CA"/>
          <w:insideV w:val="single" w:sz="4" w:space="0" w:color="D9D2CA"/>
        </w:tblBorders>
      </w:tblPr>
      <w:tblGrid>
        <w:gridCol w:w="2551"/>
        <w:gridCol w:w="6350"/>
      </w:tblGrid>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Цель обработки</w:t>
            </w:r>
          </w:p>
        </w:tc>
        <w:tc>
          <w:tcPr>
            <w:tcW w:type="dxa" w:w="6350"/>
            <w:tcMar>
              <w:top w:w="100" w:type="dxa"/>
              <w:start w:w="120" w:type="dxa"/>
              <w:bottom w:w="100" w:type="dxa"/>
              <w:end w:w="120" w:type="dxa"/>
            </w:tcMar>
            <w:vAlign w:val="top"/>
          </w:tcPr>
          <w:p>
            <w:pPr>
              <w:spacing w:after="0"/>
            </w:pPr>
            <w:r>
              <w:rPr>
                <w:rFonts w:ascii="Arial" w:hAnsi="Arial"/>
                <w:sz w:val="19"/>
              </w:rPr>
              <w:t>Подготовка и исполнение договора купли-продажи/поставки, резервирование товара, организация оплаты и доставки, коммуникация по заказу, оформление бухгалтерских и иных обязательных документов.</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Персональные данные</w:t>
            </w:r>
          </w:p>
        </w:tc>
        <w:tc>
          <w:tcPr>
            <w:tcW w:type="dxa" w:w="6350"/>
            <w:tcMar>
              <w:top w:w="100" w:type="dxa"/>
              <w:start w:w="120" w:type="dxa"/>
              <w:bottom w:w="100" w:type="dxa"/>
              <w:end w:w="120" w:type="dxa"/>
            </w:tcMar>
            <w:vAlign w:val="top"/>
          </w:tcPr>
          <w:p>
            <w:pPr>
              <w:spacing w:after="0"/>
            </w:pPr>
            <w:r>
              <w:rPr>
                <w:rFonts w:ascii="Arial" w:hAnsi="Arial"/>
                <w:sz w:val="19"/>
              </w:rPr>
              <w:t>Фамилия, имя, отчество - при необходимости; номер телефона; e-mail; сведения о заказе; адрес доставки - если доставка оформляется; реквизиты и иные данные в объеме, необходимом для расчетов и исполнения договора.</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Правовые основания</w:t>
            </w:r>
          </w:p>
        </w:tc>
        <w:tc>
          <w:tcPr>
            <w:tcW w:type="dxa" w:w="6350"/>
            <w:tcMar>
              <w:top w:w="100" w:type="dxa"/>
              <w:start w:w="120" w:type="dxa"/>
              <w:bottom w:w="100" w:type="dxa"/>
              <w:end w:w="120" w:type="dxa"/>
            </w:tcMar>
            <w:vAlign w:val="top"/>
          </w:tcPr>
          <w:p>
            <w:pPr>
              <w:spacing w:after="0"/>
            </w:pPr>
            <w:r>
              <w:rPr>
                <w:rFonts w:ascii="Arial" w:hAnsi="Arial"/>
                <w:sz w:val="19"/>
              </w:rPr>
              <w:t>Заключение и исполнение договора; исполнение обязанностей, возложенных на Оператора законодательством Российской Федерации.</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Действия с данными</w:t>
            </w:r>
          </w:p>
        </w:tc>
        <w:tc>
          <w:tcPr>
            <w:tcW w:type="dxa" w:w="6350"/>
            <w:tcMar>
              <w:top w:w="100" w:type="dxa"/>
              <w:start w:w="120" w:type="dxa"/>
              <w:bottom w:w="100" w:type="dxa"/>
              <w:end w:w="120" w:type="dxa"/>
            </w:tcMar>
            <w:vAlign w:val="top"/>
          </w:tcPr>
          <w:p>
            <w:pPr>
              <w:spacing w:after="0"/>
            </w:pPr>
            <w:r>
              <w:rPr>
                <w:rFonts w:ascii="Arial" w:hAnsi="Arial"/>
                <w:sz w:val="19"/>
              </w:rPr>
              <w:t>Сбор, запись, систематизация, накопление, хранение, уточнение, извлечение, использование, предоставление в предусмотренных законом и договором случаях, блокирование, удаление и уничтожение.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Получатели / обработчики</w:t>
            </w:r>
          </w:p>
        </w:tc>
        <w:tc>
          <w:tcPr>
            <w:tcW w:type="dxa" w:w="6350"/>
            <w:tcMar>
              <w:top w:w="100" w:type="dxa"/>
              <w:start w:w="120" w:type="dxa"/>
              <w:bottom w:w="100" w:type="dxa"/>
              <w:end w:w="120" w:type="dxa"/>
            </w:tcMar>
            <w:vAlign w:val="top"/>
          </w:tcPr>
          <w:p>
            <w:pPr>
              <w:spacing w:after="0"/>
            </w:pPr>
            <w:r>
              <w:rPr>
                <w:rFonts w:ascii="Arial" w:hAnsi="Arial"/>
                <w:sz w:val="19"/>
              </w:rPr>
              <w:t>Сервисы учета/CRM, банки и платежные сервисы при использовании, службы доставки/перевозчики, бухгалтерские и технические сервисы - только в необходимом объеме.</w:t>
            </w:r>
          </w:p>
        </w:tc>
      </w:tr>
    </w:tbl>
    <w:p/>
    <w:p>
      <w:pPr>
        <w:pStyle w:val="Heading2"/>
      </w:pPr>
      <w:r>
        <w:t>6.4. Обеспечение работы и аналитика Сайта</w:t>
      </w:r>
    </w:p>
    <w:tbl>
      <w:tblPr>
        <w:tblW w:type="auto" w:w="0"/>
        <w:jc w:val="center"/>
        <w:tblLayout w:type="fixed"/>
        <w:tblLook w:firstColumn="1" w:firstRow="1" w:lastColumn="0" w:lastRow="0" w:noHBand="0" w:noVBand="1" w:val="04A0"/>
        <w:tblBorders>
          <w:top w:val="single" w:sz="4" w:space="0" w:color="D9D2CA"/>
          <w:left w:val="single" w:sz="4" w:space="0" w:color="D9D2CA"/>
          <w:bottom w:val="single" w:sz="4" w:space="0" w:color="D9D2CA"/>
          <w:right w:val="single" w:sz="4" w:space="0" w:color="D9D2CA"/>
          <w:insideH w:val="single" w:sz="4" w:space="0" w:color="D9D2CA"/>
          <w:insideV w:val="single" w:sz="4" w:space="0" w:color="D9D2CA"/>
        </w:tblBorders>
      </w:tblPr>
      <w:tblGrid>
        <w:gridCol w:w="2551"/>
        <w:gridCol w:w="6350"/>
      </w:tblGrid>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Цель обработки</w:t>
            </w:r>
          </w:p>
        </w:tc>
        <w:tc>
          <w:tcPr>
            <w:tcW w:type="dxa" w:w="6350"/>
            <w:tcMar>
              <w:top w:w="100" w:type="dxa"/>
              <w:start w:w="120" w:type="dxa"/>
              <w:bottom w:w="100" w:type="dxa"/>
              <w:end w:w="120" w:type="dxa"/>
            </w:tcMar>
            <w:vAlign w:val="top"/>
          </w:tcPr>
          <w:p>
            <w:pPr>
              <w:spacing w:after="0"/>
            </w:pPr>
            <w:r>
              <w:rPr>
                <w:rFonts w:ascii="Arial" w:hAnsi="Arial"/>
                <w:sz w:val="19"/>
              </w:rPr>
              <w:t>Обеспечение технической работоспособности и безопасности Сайта, сохранение пользовательских настроек, анализ посещаемости и улучшение содержания, каталога и интерфейса.</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Данные</w:t>
            </w:r>
          </w:p>
        </w:tc>
        <w:tc>
          <w:tcPr>
            <w:tcW w:type="dxa" w:w="6350"/>
            <w:tcMar>
              <w:top w:w="100" w:type="dxa"/>
              <w:start w:w="120" w:type="dxa"/>
              <w:bottom w:w="100" w:type="dxa"/>
              <w:end w:w="120" w:type="dxa"/>
            </w:tcMar>
            <w:vAlign w:val="top"/>
          </w:tcPr>
          <w:p>
            <w:pPr>
              <w:spacing w:after="0"/>
            </w:pPr>
            <w:r>
              <w:rPr>
                <w:rFonts w:ascii="Arial" w:hAnsi="Arial"/>
                <w:sz w:val="19"/>
              </w:rPr>
              <w:t>IP-адрес; cookie-файлы и аналогичные идентификаторы; данные о браузере, устройстве и операционной системе; дата и время посещения; просмотренные страницы и карточки товаров; источник перехода; технические события и действия на Сайте.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Правовые основания</w:t>
            </w:r>
          </w:p>
        </w:tc>
        <w:tc>
          <w:tcPr>
            <w:tcW w:type="dxa" w:w="6350"/>
            <w:tcMar>
              <w:top w:w="100" w:type="dxa"/>
              <w:start w:w="120" w:type="dxa"/>
              <w:bottom w:w="100" w:type="dxa"/>
              <w:end w:w="120" w:type="dxa"/>
            </w:tcMar>
            <w:vAlign w:val="top"/>
          </w:tcPr>
          <w:p>
            <w:pPr>
              <w:spacing w:after="0"/>
            </w:pPr>
            <w:r>
              <w:rPr>
                <w:rFonts w:ascii="Arial" w:hAnsi="Arial"/>
                <w:sz w:val="19"/>
              </w:rPr>
              <w:t>Согласие Пользователя - для необязательных технологий, когда такое согласие необходимо; законные интересы Оператора - в части обязательных технических средств и обеспечения безопасности, если при этом не нарушаются права и свободы субъекта.</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Действия с данными</w:t>
            </w:r>
          </w:p>
        </w:tc>
        <w:tc>
          <w:tcPr>
            <w:tcW w:type="dxa" w:w="6350"/>
            <w:tcMar>
              <w:top w:w="100" w:type="dxa"/>
              <w:start w:w="120" w:type="dxa"/>
              <w:bottom w:w="100" w:type="dxa"/>
              <w:end w:w="120" w:type="dxa"/>
            </w:tcMar>
            <w:vAlign w:val="top"/>
          </w:tcPr>
          <w:p>
            <w:pPr>
              <w:spacing w:after="0"/>
            </w:pPr>
            <w:r>
              <w:rPr>
                <w:rFonts w:ascii="Arial" w:hAnsi="Arial"/>
                <w:sz w:val="19"/>
              </w:rPr>
              <w:t>Автоматизированный сбор, запись, систематизация, накопление, хранение, обезличивание, анализ, удаление и уничтожение.</w:t>
            </w:r>
          </w:p>
        </w:tc>
      </w:tr>
      <w:tr>
        <w:tc>
          <w:tcPr>
            <w:tcW w:type="dxa" w:w="2551"/>
            <w:shd w:fill="F4F1ED"/>
            <w:tcMar>
              <w:top w:w="100" w:type="dxa"/>
              <w:start w:w="120" w:type="dxa"/>
              <w:bottom w:w="100" w:type="dxa"/>
              <w:end w:w="120" w:type="dxa"/>
            </w:tcMar>
            <w:vAlign w:val="top"/>
          </w:tcPr>
          <w:p>
            <w:pPr>
              <w:spacing w:after="0"/>
            </w:pPr>
            <w:r>
              <w:rPr>
                <w:rFonts w:ascii="Arial" w:hAnsi="Arial"/>
                <w:b/>
                <w:color w:val="6B5B4B"/>
                <w:sz w:val="19"/>
              </w:rPr>
              <w:t>Дополнительные условия</w:t>
            </w:r>
          </w:p>
        </w:tc>
        <w:tc>
          <w:tcPr>
            <w:tcW w:type="dxa" w:w="6350"/>
            <w:tcMar>
              <w:top w:w="100" w:type="dxa"/>
              <w:start w:w="120" w:type="dxa"/>
              <w:bottom w:w="100" w:type="dxa"/>
              <w:end w:w="120" w:type="dxa"/>
            </w:tcMar>
            <w:vAlign w:val="top"/>
          </w:tcPr>
          <w:p>
            <w:pPr>
              <w:spacing w:after="0"/>
            </w:pPr>
            <w:r>
              <w:rPr>
                <w:rFonts w:ascii="Arial" w:hAnsi="Arial"/>
                <w:sz w:val="19"/>
              </w:rPr>
              <w:t>Сайт содержит ссылки на внешние сервисы и мессенджеры, включая WhatsApp, Telegram и Яндекс.Карты. При переходе на внешний сервис дальнейшая обработка данных осуществляется в соответствии с правилами соответствующего сервиса. Если на Сайте подключаются системы веб-аналитики или рекламные технологии, их использование должно быть отражено в фактической конфигурации Сайта и настройках cookie-баннера.</w:t>
            </w:r>
          </w:p>
        </w:tc>
      </w:tr>
    </w:tbl>
    <w:p/>
    <w:p>
      <w:r>
        <w:t>6.5. Направление рекламных и маркетинговых сообщений допускается только при наличии отдельного предварительного согласия Пользователя. Отказ от рекламы не влияет на возможность направить заявку, получить расчет, консультацию или приобрести товар.</w:t>
      </w:r>
    </w:p>
    <w:p>
      <w:r>
        <w:t>6.6. Оператор не обрабатывает специальные категории персональных данных и биометрические персональные данные через формы Сайта, если иное прямо не предусмотрено отдельным документом и законодательством.</w:t>
      </w:r>
    </w:p>
    <w:p>
      <w:pPr>
        <w:pStyle w:val="Heading1"/>
      </w:pPr>
      <w:r>
        <w:t>7. Условия обработки персональных данных</w:t>
      </w:r>
    </w:p>
    <w:p>
      <w:pPr>
        <w:pStyle w:val="ListBullet"/>
        <w:spacing w:after="60"/>
        <w:ind w:left="255" w:hanging="102"/>
      </w:pPr>
      <w:r>
        <w:rPr>
          <w:rFonts w:ascii="Arial" w:hAnsi="Arial"/>
          <w:sz w:val="21"/>
        </w:rPr>
        <w:t>обработка осуществляется с согласия субъекта либо при наличии иного основания, предусмотренного законодательством;</w:t>
      </w:r>
    </w:p>
    <w:p>
      <w:pPr>
        <w:pStyle w:val="ListBullet"/>
        <w:spacing w:after="60"/>
        <w:ind w:left="255" w:hanging="102"/>
      </w:pPr>
      <w:r>
        <w:rPr>
          <w:rFonts w:ascii="Arial" w:hAnsi="Arial"/>
          <w:sz w:val="21"/>
        </w:rPr>
        <w:t>обработка необходима для заключения или исполнения договора, стороной или выгодоприобретателем по которому является субъект;</w:t>
      </w:r>
    </w:p>
    <w:p>
      <w:pPr>
        <w:pStyle w:val="ListBullet"/>
        <w:spacing w:after="60"/>
        <w:ind w:left="255" w:hanging="102"/>
      </w:pPr>
      <w:r>
        <w:rPr>
          <w:rFonts w:ascii="Arial" w:hAnsi="Arial"/>
          <w:sz w:val="21"/>
        </w:rPr>
        <w:t>обработка необходима для исполнения обязанностей Оператора, установленных законодательством;</w:t>
      </w:r>
    </w:p>
    <w:p>
      <w:pPr>
        <w:pStyle w:val="ListBullet"/>
        <w:spacing w:after="60"/>
        <w:ind w:left="255" w:hanging="102"/>
      </w:pPr>
      <w:r>
        <w:rPr>
          <w:rFonts w:ascii="Arial" w:hAnsi="Arial"/>
          <w:sz w:val="21"/>
        </w:rPr>
        <w:t>обработка необходима для осуществления прав и законных интересов Оператора или третьих лиц при условии, что не нарушаются права и свободы субъекта;</w:t>
      </w:r>
    </w:p>
    <w:p>
      <w:pPr>
        <w:pStyle w:val="ListBullet"/>
        <w:spacing w:after="60"/>
        <w:ind w:left="255" w:hanging="102"/>
      </w:pPr>
      <w:r>
        <w:rPr>
          <w:rFonts w:ascii="Arial" w:hAnsi="Arial"/>
          <w:sz w:val="21"/>
        </w:rPr>
        <w:t>поручение обработки третьему лицу оформляется с соблюдением требований законодательства Российской Федерации.</w:t>
      </w:r>
    </w:p>
    <w:p>
      <w:pPr>
        <w:pStyle w:val="Heading1"/>
      </w:pPr>
      <w:r>
        <w:t>8. Порядок сбора, хранения, передачи и прекращения обработки</w:t>
      </w:r>
    </w:p>
    <w:p>
      <w:r>
        <w:t>8.1. Оператор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и распространения.</w:t>
      </w:r>
    </w:p>
    <w:p>
      <w:r>
        <w:t>8.2. Доступ к персональным данным предоставляется только лицам, которым он необходим для выполнения должностных или договорных обязанностей.</w:t>
      </w:r>
    </w:p>
    <w:p>
      <w:r>
        <w:t>8.3. Передача персональных данных третьим лицам допускается с согласия субъекта, для исполнения договора, по требованию закона либо в иных предусмотренных законом случаях.</w:t>
      </w:r>
    </w:p>
    <w:p>
      <w:r>
        <w:t>8.4. При сборе персональных данных граждан Российской Федерации посредством сети Интернет Оператор обеспечивает запись, систематизацию, накопление, хранение, уточнение и извлечение таких данных с использованием баз данных, находящихся на территории Российской Федерации, кроме предусмотренных законом исключений.</w:t>
      </w:r>
    </w:p>
    <w:p>
      <w:r>
        <w:t>8.5. Срок обработки определяется достижением целей обработки, сроками договора, требованиями бухгалтерского, налогового и иного законодательства, а также сроком действия согласия.</w:t>
      </w:r>
    </w:p>
    <w:p>
      <w:r>
        <w:t>8.6. По достижении цели обработки персональные данные уничтожаются либо обезличиваются в срок, установленный законом, если отсутствует иное законное основание для их дальнейшей обработки. При отзыве согласия данные прекращают обрабатываться и, когда их дальнейшее хранение не требуется, уничтожаются не позднее 30 дней с даты поступления отзыва. По требованию субъекта о прекращении обработки Оператор прекращает обработку в срок не более 10 рабочих дней; этот срок может быть продлен не более чем на 5 рабочих дней при направлении мотивированного уведомления, если закон допускает такое продление.</w:t>
      </w:r>
    </w:p>
    <w:p>
      <w:r>
        <w:t>8.7. Для уточнения данных, отзыва согласия или направления требования о прекращении обработки субъект может направить письменное обращение по адресу Оператора: Набережная р. Уфы, д. 45, корп./ст. 1, кв./оф. 14, Республика Башкортостан, Октябрьский район, либо использовать актуальные контактные данные, опубликованные на Сайте. Телефон: +7 (917) 444-76-92. В обращении следует указать сведения, позволяющие идентифицировать заявителя и его взаимодействие с Оператором.</w:t>
      </w:r>
    </w:p>
    <w:p>
      <w:r>
        <w:t>8.8. Оператор не принимает решения, порождающие юридические последствия для субъекта, исключительно на основании автоматизированной обработки данных.</w:t>
      </w:r>
    </w:p>
    <w:p>
      <w:pPr>
        <w:pStyle w:val="Heading1"/>
      </w:pPr>
      <w:r>
        <w:t>9. Cookie-файлы и технические данные</w:t>
      </w:r>
    </w:p>
    <w:p>
      <w:r>
        <w:t>9.1. Сайт может использовать cookie-файлы и аналогичные технологии. Часть cookie необходима для технической работы и безопасности Сайта; иные категории используются с учетом выбора Пользователя и требований законодательства.</w:t>
      </w:r>
    </w:p>
    <w:p>
      <w:r>
        <w:t>9.2. Пользователь может изменить настройки cookie в браузере и, если на Сайте доступен соответствующий инструмент, изменить ранее сделанный выбор. Ограничение обязательных cookie может повлиять на работоспособность отдельных функций.</w:t>
      </w:r>
    </w:p>
    <w:p>
      <w:r>
        <w:t>9.3. При подключении аналитических или рекламных сервисов сведения об используемых технологиях, целях, сроках и способах управления ими должны быть доступны Пользователю до либо в момент их применения.</w:t>
      </w:r>
    </w:p>
    <w:p>
      <w:pPr>
        <w:pStyle w:val="Heading1"/>
      </w:pPr>
      <w:r>
        <w:t>10. Трансграничная передача персональных данных</w:t>
      </w:r>
    </w:p>
    <w:p>
      <w:r>
        <w:t>10.1. Оператор не осуществляет трансграничную передачу персональных данных через формы Сайта без наличия соответствующего законного основания. При самостоятельном переходе Пользователя во внешние мессенджеры или иные сторонние сервисы обработка данных такими сервисами осуществляется по их собственным правилам.</w:t>
      </w:r>
    </w:p>
    <w:p>
      <w:r>
        <w:t>10.2. До начала трансграничной передачи, если она потребуется в деятельности Оператора, Оператор выполняет требования Федерального закона № 152-ФЗ, включая предусмотренное законом уведомление уполномоченного органа.</w:t>
      </w:r>
    </w:p>
    <w:p>
      <w:pPr>
        <w:pStyle w:val="Heading1"/>
      </w:pPr>
      <w:r>
        <w:t>11. Конфиденциальность персональных данных</w:t>
      </w:r>
    </w:p>
    <w:p>
      <w:r>
        <w:t>Оператор и иные лица, получившие доступ к персональным данным, обязаны не раскрывать и не распространять их без согласия субъекта, если иное не предусмотрено федеральным законом.</w:t>
      </w:r>
    </w:p>
    <w:p>
      <w:pPr>
        <w:pStyle w:val="Heading1"/>
      </w:pPr>
      <w:r>
        <w:t>12. Заключительные положения</w:t>
      </w:r>
    </w:p>
    <w:p>
      <w:r>
        <w:t>12.1. Разъяснения по вопросам обработки персональных данных можно получить, направив обращение по адресу Оператора: Набережная р. Уфы, д. 45, корп./ст. 1, кв./оф. 14, Республика Башкортостан, Октябрьский район, либо используя актуальные контактные данные, опубликованные на Сайте. Телефон: +7 (917) 444-76-92.</w:t>
      </w:r>
    </w:p>
    <w:p>
      <w:r>
        <w:t>12.2. Оператор вправе вносить изменения в Политику при изменении законодательства, способов обработки данных, состава сервисов или технической конфигурации Сайта. Новая редакция действует с момента ее размещения на Сайте, если в ней не предусмотрено иное.</w:t>
      </w:r>
    </w:p>
    <w:p>
      <w:r>
        <w:t>12.3. Актуальная версия Политики размещается в свободном доступе на Сайте: https://cd764371.tw1.ru/</w:t>
      </w:r>
    </w:p>
    <w:p>
      <w:r>
        <w:t>Дата последнего обновления: 14.09.2026.</w:t>
      </w:r>
    </w:p>
    <w:sectPr w:rsidR="00FC693F" w:rsidRPr="0006063C" w:rsidSect="00034616">
      <w:headerReference w:type="default" r:id="rId9"/>
      <w:footerReference w:type="default" r:id="rId10"/>
      <w:pgSz w:w="12240" w:h="15840"/>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646464"/>
        <w:sz w:val="16"/>
      </w:rPr>
      <w:t>Актуальная редакция: 14.09.2026</w:t>
    </w:r>
    <w:r>
      <w:rPr>
        <w:sz w:val="16"/>
      </w:rPr>
      <w:t xml:space="preserve">  •  </w:t>
    </w:r>
    <w:r>
      <w:rPr>
        <w:color w:val="646464"/>
        <w:sz w:val="16"/>
      </w:rPr>
      <w:t xml:space="preserve">Страница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B5B4B"/>
        <w:sz w:val="19"/>
      </w:rPr>
      <w:t>Напольный Рай</w:t>
    </w:r>
    <w:r>
      <w:rPr>
        <w:sz w:val="16"/>
      </w:rPr>
      <w:br/>
      <w:t>https://cd764371.tw1.ru/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69" w:lineRule="auto"/>
    </w:pPr>
    <w:rPr>
      <w:rFonts w:ascii="Arial" w:hAnsi="Arial"/>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6B5B4B"/>
      <w:sz w:val="27"/>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6B5B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62626"/>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